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6" w:rsidRDefault="00C2250A">
      <w:r>
        <w:t>350 Cee Run</w:t>
      </w:r>
    </w:p>
    <w:p w:rsidR="00C2250A" w:rsidRDefault="00C2250A">
      <w:r>
        <w:t>Bertram, TX 78605</w:t>
      </w:r>
    </w:p>
    <w:p w:rsidR="00C2250A" w:rsidRDefault="00C2250A">
      <w:r>
        <w:t>8 August 2014</w:t>
      </w:r>
    </w:p>
    <w:p w:rsidR="00C2250A" w:rsidRDefault="00C2250A"/>
    <w:p w:rsidR="00C2250A" w:rsidRDefault="00C2250A">
      <w:r>
        <w:t>S David Smith</w:t>
      </w:r>
    </w:p>
    <w:p w:rsidR="00C2250A" w:rsidRDefault="00C2250A">
      <w:proofErr w:type="spellStart"/>
      <w:r>
        <w:t>McGlinchy</w:t>
      </w:r>
      <w:proofErr w:type="spellEnd"/>
      <w:r>
        <w:t xml:space="preserve"> Stafford, PLLC</w:t>
      </w:r>
    </w:p>
    <w:p w:rsidR="00C2250A" w:rsidRDefault="00C2250A">
      <w:r>
        <w:t>1001 McKinney St. Suite 1500</w:t>
      </w:r>
    </w:p>
    <w:p w:rsidR="00C2250A" w:rsidRDefault="00C2250A">
      <w:r>
        <w:t>Houston, Texas 77002</w:t>
      </w:r>
    </w:p>
    <w:p w:rsidR="00C2250A" w:rsidRDefault="00C2250A">
      <w:r>
        <w:t xml:space="preserve">713.520.1900 </w:t>
      </w:r>
    </w:p>
    <w:p w:rsidR="00C2250A" w:rsidRDefault="00C2250A"/>
    <w:p w:rsidR="00C2250A" w:rsidRDefault="00C2250A">
      <w:r>
        <w:t>Cc:</w:t>
      </w:r>
      <w:bookmarkStart w:id="0" w:name="_GoBack"/>
      <w:bookmarkEnd w:id="0"/>
    </w:p>
    <w:p w:rsidR="00C2250A" w:rsidRDefault="00C2250A">
      <w:r>
        <w:t>Nathan T. Anderson</w:t>
      </w:r>
    </w:p>
    <w:p w:rsidR="00C2250A" w:rsidRDefault="00C2250A">
      <w:proofErr w:type="spellStart"/>
      <w:r>
        <w:t>McGlinchy</w:t>
      </w:r>
      <w:proofErr w:type="spellEnd"/>
      <w:r>
        <w:t xml:space="preserve"> Stafford, PLLC</w:t>
      </w:r>
    </w:p>
    <w:p w:rsidR="00C2250A" w:rsidRDefault="00C2250A">
      <w:r>
        <w:t>2711 North Haskell Ave., Suite 2750, LB25</w:t>
      </w:r>
    </w:p>
    <w:p w:rsidR="00C2250A" w:rsidRDefault="00C2250A">
      <w:r>
        <w:t>Dallas, Texas 75204</w:t>
      </w:r>
    </w:p>
    <w:p w:rsidR="00C2250A" w:rsidRDefault="00C2250A">
      <w:r>
        <w:t>214.445.2445</w:t>
      </w:r>
    </w:p>
    <w:p w:rsidR="00C2250A" w:rsidRDefault="00C2250A"/>
    <w:p w:rsidR="00C2250A" w:rsidRDefault="00C2250A">
      <w:r>
        <w:t xml:space="preserve">Marci </w:t>
      </w:r>
      <w:proofErr w:type="spellStart"/>
      <w:r>
        <w:t>Porrata</w:t>
      </w:r>
      <w:proofErr w:type="spellEnd"/>
    </w:p>
    <w:p w:rsidR="00C2250A" w:rsidRDefault="00C2250A">
      <w:r>
        <w:t>Liaison, Office of the President</w:t>
      </w:r>
    </w:p>
    <w:p w:rsidR="00C2250A" w:rsidRDefault="00C2250A">
      <w:r>
        <w:t>PHH Mortgage</w:t>
      </w:r>
    </w:p>
    <w:p w:rsidR="00C2250A" w:rsidRDefault="00C2250A">
      <w:r>
        <w:t>2001 Bishops Gate Blvd.</w:t>
      </w:r>
    </w:p>
    <w:p w:rsidR="00C2250A" w:rsidRDefault="00C2250A">
      <w:r>
        <w:t>Mount Laurel, NJ 08054</w:t>
      </w:r>
    </w:p>
    <w:p w:rsidR="00C2250A" w:rsidRDefault="00C2250A">
      <w:r>
        <w:t>800.449.8767</w:t>
      </w:r>
    </w:p>
    <w:p w:rsidR="00C2250A" w:rsidRDefault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2250A" w:rsidRDefault="00C2250A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Registered Agent</w:t>
      </w:r>
    </w:p>
    <w:p w:rsidR="00C2250A" w:rsidRDefault="00C2250A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PHH Mortgage Company LLC </w:t>
      </w:r>
    </w:p>
    <w:p w:rsidR="00C2250A" w:rsidRDefault="00C2250A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211 East 7</w:t>
      </w:r>
      <w:r w:rsidRPr="006E55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Street</w:t>
      </w:r>
    </w:p>
    <w:p w:rsidR="00C2250A" w:rsidRDefault="00C2250A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Austin, TX 78701</w:t>
      </w:r>
    </w:p>
    <w:p w:rsidR="00D841A1" w:rsidRDefault="00D841A1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41A1" w:rsidRDefault="00FD6EE2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Burnet County District Clerk</w:t>
      </w:r>
    </w:p>
    <w:p w:rsidR="00FD6EE2" w:rsidRDefault="00FD6EE2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Courthouse Annex North</w:t>
      </w:r>
    </w:p>
    <w:p w:rsidR="00FD6EE2" w:rsidRDefault="00FD6EE2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1701 Polk St. Suite 90</w:t>
      </w:r>
    </w:p>
    <w:p w:rsidR="00FD6EE2" w:rsidRDefault="00FD6EE2" w:rsidP="00C225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Burnet, Texas 78611</w:t>
      </w:r>
    </w:p>
    <w:p w:rsidR="00C2250A" w:rsidRDefault="00C2250A"/>
    <w:p w:rsidR="00FD6EE2" w:rsidRDefault="00C2250A">
      <w:r>
        <w:t>Re: Cause #41159</w:t>
      </w:r>
      <w:r w:rsidR="00630657">
        <w:t xml:space="preserve">, </w:t>
      </w:r>
      <w:r w:rsidR="00FD6EE2">
        <w:t xml:space="preserve">David McCrae </w:t>
      </w:r>
      <w:proofErr w:type="gramStart"/>
      <w:r w:rsidR="00FD6EE2">
        <w:t>et</w:t>
      </w:r>
      <w:proofErr w:type="gramEnd"/>
      <w:r w:rsidR="00FD6EE2">
        <w:t>. al. v. PHH Mortgage</w:t>
      </w:r>
    </w:p>
    <w:p w:rsidR="00C2250A" w:rsidRDefault="00FD6EE2" w:rsidP="00FD6EE2">
      <w:pPr>
        <w:ind w:firstLine="720"/>
      </w:pPr>
      <w:r>
        <w:t xml:space="preserve">In the </w:t>
      </w:r>
      <w:r w:rsidR="00630657">
        <w:t>424</w:t>
      </w:r>
      <w:r w:rsidR="00630657" w:rsidRPr="00630657">
        <w:rPr>
          <w:vertAlign w:val="superscript"/>
        </w:rPr>
        <w:t>th</w:t>
      </w:r>
      <w:r w:rsidR="00630657">
        <w:t xml:space="preserve"> Judicial District, Burnet County, Texas</w:t>
      </w:r>
    </w:p>
    <w:p w:rsidR="00C2250A" w:rsidRDefault="00C2250A"/>
    <w:p w:rsidR="00C2250A" w:rsidRDefault="00C2250A" w:rsidP="00C2250A">
      <w:pPr>
        <w:tabs>
          <w:tab w:val="left" w:pos="1496"/>
        </w:tabs>
      </w:pPr>
      <w:r>
        <w:t>Mr. Smith,</w:t>
      </w:r>
      <w:r>
        <w:tab/>
      </w:r>
    </w:p>
    <w:p w:rsidR="00C2250A" w:rsidRDefault="00630657" w:rsidP="00C2250A">
      <w:pPr>
        <w:tabs>
          <w:tab w:val="left" w:pos="1496"/>
        </w:tabs>
      </w:pPr>
      <w:r>
        <w:t xml:space="preserve">I received today your Original Answer and Affirmative Defense of this Cause I filed on 21 February 2013.  I had heard from Miss Cindy (telecom 2/22/2013) </w:t>
      </w:r>
      <w:r w:rsidR="009C3B8F">
        <w:t>the next day that this</w:t>
      </w:r>
      <w:r>
        <w:t xml:space="preserve"> ca</w:t>
      </w:r>
      <w:r w:rsidR="009C3B8F">
        <w:t>u</w:t>
      </w:r>
      <w:r>
        <w:t>se was improperly presented and lacked a page for the Judge to sign and make a dispositive motion, and would therefore not be accepted by the Court.</w:t>
      </w:r>
      <w:r w:rsidR="000B5A18">
        <w:t xml:space="preserve">  I </w:t>
      </w:r>
      <w:r w:rsidR="00FD6EE2">
        <w:t xml:space="preserve">naturally </w:t>
      </w:r>
      <w:r w:rsidR="000B5A18">
        <w:t>put the case out of my mind.  This case was never called, never argued, and never satisfactorily resolved.</w:t>
      </w:r>
      <w:r w:rsidR="00FD6EE2">
        <w:t xml:space="preserve">  In fact, after I went bankrupt later on, I went back to the Court and asked for my filing fee to be returned, but I was told it was not available.</w:t>
      </w:r>
    </w:p>
    <w:p w:rsidR="00630657" w:rsidRDefault="00630657" w:rsidP="00C2250A">
      <w:pPr>
        <w:tabs>
          <w:tab w:val="left" w:pos="1496"/>
        </w:tabs>
      </w:pPr>
      <w:r>
        <w:t xml:space="preserve">Since my house was at that time scheduled for Public Sale on the First Tuesday of March, </w:t>
      </w:r>
      <w:r w:rsidR="000B5A18">
        <w:t xml:space="preserve">in 2013, </w:t>
      </w:r>
      <w:r>
        <w:t xml:space="preserve">I was forced to choose another </w:t>
      </w:r>
      <w:r w:rsidR="00FD6EE2">
        <w:t xml:space="preserve">more timely and effective </w:t>
      </w:r>
      <w:r>
        <w:t xml:space="preserve">path of resolution </w:t>
      </w:r>
      <w:r w:rsidR="000B5A18">
        <w:t xml:space="preserve">to protect myself </w:t>
      </w:r>
      <w:r>
        <w:t>and file</w:t>
      </w:r>
      <w:r w:rsidR="000B5A18">
        <w:t>d</w:t>
      </w:r>
      <w:r>
        <w:t xml:space="preserve"> for Federal bankruptcy prote</w:t>
      </w:r>
      <w:r w:rsidR="000B5A18">
        <w:t>ction under Chapter 13, #10386, and had</w:t>
      </w:r>
      <w:r>
        <w:t xml:space="preserve"> my Federal Trustee Ms. Deborah </w:t>
      </w:r>
      <w:proofErr w:type="spellStart"/>
      <w:r>
        <w:t>Langehennig</w:t>
      </w:r>
      <w:proofErr w:type="spellEnd"/>
      <w:r>
        <w:t xml:space="preserve"> unwind my assets and dispose </w:t>
      </w:r>
      <w:r w:rsidR="000B5A18">
        <w:t xml:space="preserve">of </w:t>
      </w:r>
      <w:r>
        <w:t xml:space="preserve">them among my creditors.  The only creditor filing </w:t>
      </w:r>
      <w:r w:rsidR="000B5A18">
        <w:t xml:space="preserve">a </w:t>
      </w:r>
      <w:r>
        <w:t>POC turned out to be PHH, and Deborah was successful in managing an equitable payoff of the mortgage</w:t>
      </w:r>
      <w:r w:rsidR="000B5A18">
        <w:t xml:space="preserve"> by December 2013.  This was about three years before maturity, as some may have noted.  I naturally paid some additional costs due to the adventurous attempt at wrongful foreclosure action by PHH, and BBDFTE.  I now own the property free and clear, and title is recorded here in Burnet County.</w:t>
      </w:r>
    </w:p>
    <w:p w:rsidR="009C3B8F" w:rsidRDefault="000B5A18" w:rsidP="009C3B8F">
      <w:pPr>
        <w:tabs>
          <w:tab w:val="left" w:pos="1496"/>
        </w:tabs>
        <w:jc w:val="center"/>
      </w:pPr>
      <w:r>
        <w:t xml:space="preserve">I am preparing another cause of action for restitution of damages I’ve sustained during this process.  I have come to realize that I may be </w:t>
      </w:r>
      <w:r w:rsidR="00D841A1">
        <w:t>representative</w:t>
      </w:r>
      <w:r w:rsidR="00007DAA">
        <w:t xml:space="preserve"> of a Class, and have accordingly made my report as First Relator to the local Department of Justice.  </w:t>
      </w:r>
      <w:r w:rsidR="009C3B8F">
        <w:t xml:space="preserve">They have a Task Force for such issues.  </w:t>
      </w:r>
      <w:r w:rsidR="00007DAA">
        <w:t>My complain</w:t>
      </w:r>
      <w:r w:rsidR="009C3B8F">
        <w:t xml:space="preserve">t, </w:t>
      </w:r>
      <w:r w:rsidR="00FD6EE2">
        <w:lastRenderedPageBreak/>
        <w:t>CFPB 140626-00030,</w:t>
      </w:r>
      <w:r w:rsidR="00007DAA">
        <w:t xml:space="preserve"> is now before the Consumer Finance Protection Bureau</w:t>
      </w:r>
      <w:r w:rsidR="009C3B8F">
        <w:t>, and PHH has</w:t>
      </w:r>
      <w:r w:rsidR="00007DAA">
        <w:t xml:space="preserve"> made an initial response</w:t>
      </w:r>
      <w:r w:rsidR="00D841A1">
        <w:t xml:space="preserve"> to that complaint</w:t>
      </w:r>
      <w:r w:rsidR="00007DAA">
        <w:t>.  This avenue was established by 2012 Dodd Frank FIRREA, and has just come into existence in January of this year</w:t>
      </w:r>
      <w:r w:rsidR="009C3B8F">
        <w:t>, 2014</w:t>
      </w:r>
      <w:r w:rsidR="00007DAA">
        <w:t xml:space="preserve">.  </w:t>
      </w:r>
      <w:r w:rsidR="00D841A1">
        <w:t xml:space="preserve">It seems to be working out.  </w:t>
      </w:r>
      <w:r w:rsidR="00007DAA">
        <w:t xml:space="preserve">Everyone would prefer to avoid litigation, which we all know is generally time consuming and expensive in itself, before even considering the interests of the parties.  </w:t>
      </w:r>
      <w:r w:rsidR="009C3B8F">
        <w:t>As statute of limitations is not of immediate concern, and my property is now secured, t</w:t>
      </w:r>
      <w:r w:rsidR="00007DAA">
        <w:t xml:space="preserve">hat cause is not quite ready to file, but I maintain a preview of issues on my site at </w:t>
      </w:r>
      <w:hyperlink r:id="rId5" w:history="1">
        <w:r w:rsidR="009C3B8F" w:rsidRPr="007F4B16">
          <w:rPr>
            <w:rStyle w:val="Hyperlink"/>
          </w:rPr>
          <w:t>www.phhmortgagemustbedestroyed.weebly.com</w:t>
        </w:r>
      </w:hyperlink>
    </w:p>
    <w:p w:rsidR="000B5A18" w:rsidRDefault="009C3B8F" w:rsidP="00C2250A">
      <w:pPr>
        <w:tabs>
          <w:tab w:val="left" w:pos="1496"/>
        </w:tabs>
      </w:pPr>
      <w:r>
        <w:t>It’s at the open discussion stage now, and comment is welcome from all.  Some study might give you a leg up if we eventually become counterparties.</w:t>
      </w:r>
      <w:r w:rsidR="00FD6EE2">
        <w:t xml:space="preserve">  I continue to incur costs of collection at one bitcoin per day, and the issues are fairly complex.  The jury will no doubt have some challenging work to do.</w:t>
      </w:r>
    </w:p>
    <w:p w:rsidR="009C3B8F" w:rsidRDefault="00D841A1" w:rsidP="00C2250A">
      <w:pPr>
        <w:tabs>
          <w:tab w:val="left" w:pos="1496"/>
        </w:tabs>
      </w:pPr>
      <w:r>
        <w:t xml:space="preserve">At any rate, I concur </w:t>
      </w:r>
      <w:r w:rsidR="00DD4687">
        <w:t>with the Notice of Notice of</w:t>
      </w:r>
      <w:r>
        <w:t xml:space="preserve"> </w:t>
      </w:r>
      <w:r w:rsidR="00DD4687">
        <w:t>Removal of</w:t>
      </w:r>
      <w:r>
        <w:t xml:space="preserve"> this cause from the 424</w:t>
      </w:r>
      <w:r w:rsidRPr="00D841A1">
        <w:rPr>
          <w:vertAlign w:val="superscript"/>
        </w:rPr>
        <w:t>th</w:t>
      </w:r>
      <w:r>
        <w:t xml:space="preserve"> District Court.  The timeliness was certainly completely unconscionable, and </w:t>
      </w:r>
      <w:r w:rsidR="00DD4687">
        <w:t xml:space="preserve">other than allegation and denial, </w:t>
      </w:r>
      <w:r>
        <w:t xml:space="preserve">the </w:t>
      </w:r>
      <w:r w:rsidR="00DD4687">
        <w:t xml:space="preserve">evidence and </w:t>
      </w:r>
      <w:r>
        <w:t>issues have never been argued before a jury.  I hope and pray that one day we will be able to meet and resolve the issue.</w:t>
      </w:r>
    </w:p>
    <w:p w:rsidR="009C3B8F" w:rsidRDefault="009C3B8F" w:rsidP="00C2250A">
      <w:pPr>
        <w:tabs>
          <w:tab w:val="left" w:pos="1496"/>
        </w:tabs>
      </w:pPr>
    </w:p>
    <w:p w:rsidR="009C3B8F" w:rsidRDefault="00D841A1" w:rsidP="00C2250A">
      <w:pPr>
        <w:tabs>
          <w:tab w:val="left" w:pos="1496"/>
        </w:tabs>
      </w:pPr>
      <w:r>
        <w:t>With Warm</w:t>
      </w:r>
      <w:r w:rsidR="009C3B8F">
        <w:t>est Regards,</w:t>
      </w:r>
    </w:p>
    <w:p w:rsidR="009C3B8F" w:rsidRDefault="009C3B8F" w:rsidP="00C2250A">
      <w:pPr>
        <w:tabs>
          <w:tab w:val="left" w:pos="1496"/>
        </w:tabs>
      </w:pPr>
    </w:p>
    <w:p w:rsidR="00D841A1" w:rsidRDefault="00D841A1" w:rsidP="00C2250A">
      <w:pPr>
        <w:tabs>
          <w:tab w:val="left" w:pos="1496"/>
        </w:tabs>
      </w:pPr>
    </w:p>
    <w:p w:rsidR="009C3B8F" w:rsidRDefault="009C3B8F" w:rsidP="00C2250A">
      <w:pPr>
        <w:tabs>
          <w:tab w:val="left" w:pos="1496"/>
        </w:tabs>
      </w:pPr>
      <w:r>
        <w:t>Dave McCrae</w:t>
      </w:r>
      <w:r w:rsidR="00FD6EE2">
        <w:t>, pro se</w:t>
      </w:r>
    </w:p>
    <w:p w:rsidR="009C3B8F" w:rsidRDefault="009C3B8F" w:rsidP="00C2250A">
      <w:pPr>
        <w:tabs>
          <w:tab w:val="left" w:pos="1496"/>
        </w:tabs>
      </w:pPr>
      <w:r>
        <w:t>www.phhmortgagemustbedestroyed.weebly.com</w:t>
      </w:r>
    </w:p>
    <w:p w:rsidR="009C3B8F" w:rsidRDefault="009C3B8F" w:rsidP="00C2250A">
      <w:pPr>
        <w:tabs>
          <w:tab w:val="left" w:pos="1496"/>
        </w:tabs>
      </w:pPr>
      <w:hyperlink r:id="rId6" w:history="1">
        <w:r w:rsidRPr="007F4B16">
          <w:rPr>
            <w:rStyle w:val="Hyperlink"/>
          </w:rPr>
          <w:t>Xstek99@gmail.com</w:t>
        </w:r>
      </w:hyperlink>
    </w:p>
    <w:p w:rsidR="009C3B8F" w:rsidRDefault="009C3B8F" w:rsidP="00C2250A">
      <w:pPr>
        <w:tabs>
          <w:tab w:val="left" w:pos="1496"/>
        </w:tabs>
      </w:pPr>
      <w:r>
        <w:t>512.557.0283</w:t>
      </w:r>
    </w:p>
    <w:p w:rsidR="00C2250A" w:rsidRDefault="00C2250A"/>
    <w:sectPr w:rsidR="00C2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A"/>
    <w:rsid w:val="00007DAA"/>
    <w:rsid w:val="000B5A18"/>
    <w:rsid w:val="003C28F6"/>
    <w:rsid w:val="00630657"/>
    <w:rsid w:val="00807A11"/>
    <w:rsid w:val="009C3B8F"/>
    <w:rsid w:val="00C2250A"/>
    <w:rsid w:val="00D841A1"/>
    <w:rsid w:val="00DD4687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tek99@gmail.com" TargetMode="External"/><Relationship Id="rId5" Type="http://schemas.openxmlformats.org/officeDocument/2006/relationships/hyperlink" Target="http://www.phhmortgagemustbedestroye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2014-08-08T16:45:00Z</cp:lastPrinted>
  <dcterms:created xsi:type="dcterms:W3CDTF">2014-08-08T17:42:00Z</dcterms:created>
  <dcterms:modified xsi:type="dcterms:W3CDTF">2014-08-08T17:42:00Z</dcterms:modified>
</cp:coreProperties>
</file>